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7C3948E5" w:rsidR="00F422D3" w:rsidRDefault="00F422D3" w:rsidP="004B5C9B">
      <w:pPr>
        <w:pStyle w:val="Titul2"/>
        <w:jc w:val="both"/>
      </w:pPr>
      <w:r>
        <w:t>Název zakázky: „</w:t>
      </w:r>
      <w:r w:rsidR="00E81EE9" w:rsidRPr="00E81EE9">
        <w:t>Doplnění LAN sítí OŘ Hradec Králové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3150D9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54790212" w14:textId="552DC511" w:rsidR="001C2A3F" w:rsidRPr="001C2A3F" w:rsidRDefault="00E0760F" w:rsidP="003150D9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E0760F">
        <w:rPr>
          <w:rFonts w:eastAsia="Times New Roman" w:cs="Arial"/>
          <w:snapToGrid w:val="0"/>
          <w:lang w:eastAsia="cs-CZ"/>
        </w:rPr>
        <w:t>Ing. Šárka Teplá, tel.: +420 972 342 076, e-mail: Tepla@spravazeleznic.cz</w:t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3AC091DC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2A7B961E" w14:textId="6BD59E28" w:rsidR="006F3400" w:rsidRPr="002A398D" w:rsidRDefault="006F3400" w:rsidP="003150D9">
      <w:pPr>
        <w:pStyle w:val="Textbezodsazen"/>
        <w:spacing w:after="0"/>
        <w:ind w:firstLine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lastRenderedPageBreak/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613AB075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E81EE9" w:rsidRPr="00E81EE9">
        <w:t>Doplnění LAN sítí OŘ Hradec Králové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</w:t>
      </w:r>
      <w:r w:rsidR="00655A8E">
        <w:t> </w:t>
      </w:r>
      <w:r w:rsidRPr="002A398D">
        <w:t>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E0687D" w:rsidRPr="006F2D45">
        <w:t>10 ks</w:t>
      </w:r>
      <w:r w:rsidR="00E0687D">
        <w:t xml:space="preserve"> </w:t>
      </w:r>
      <w:proofErr w:type="spellStart"/>
      <w:r w:rsidR="00E0687D" w:rsidRPr="006F2D45">
        <w:t>switchů</w:t>
      </w:r>
      <w:proofErr w:type="spellEnd"/>
      <w:r w:rsidR="00655A8E">
        <w:t>,</w:t>
      </w:r>
      <w:r w:rsidR="00E0687D" w:rsidRPr="006F2D45">
        <w:t xml:space="preserve"> stohovacích síťových modulů</w:t>
      </w:r>
      <w:r w:rsidR="00655A8E">
        <w:t xml:space="preserve"> a</w:t>
      </w:r>
      <w:r w:rsidR="00E0687D" w:rsidRPr="006F2D45">
        <w:t xml:space="preserve"> licencí pro provoz</w:t>
      </w:r>
      <w:r w:rsidR="00E0687D" w:rsidRPr="00067B13">
        <w:t xml:space="preserve"> </w:t>
      </w:r>
      <w:r w:rsidRPr="00067B13">
        <w:t>uvedených v</w:t>
      </w:r>
      <w:r w:rsidR="00655A8E">
        <w:t> </w:t>
      </w:r>
      <w:r w:rsidRPr="00067B13">
        <w:t xml:space="preserve">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1C1470A6" w:rsid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5732596F" w14:textId="5DA455BB" w:rsidR="00DD35AA" w:rsidRPr="007972AC" w:rsidRDefault="00DD35AA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1D5EC2">
        <w:t>Prodávající se zavazuje Kupujícímu poskytn</w:t>
      </w:r>
      <w:r>
        <w:t>out</w:t>
      </w:r>
      <w:r w:rsidRPr="001D5EC2">
        <w:t xml:space="preserve"> licenc</w:t>
      </w:r>
      <w:r>
        <w:t>e</w:t>
      </w:r>
      <w:r w:rsidRPr="001D5EC2">
        <w:t xml:space="preserve"> na provoz</w:t>
      </w:r>
      <w:r>
        <w:t xml:space="preserve"> a správu </w:t>
      </w:r>
      <w:proofErr w:type="spellStart"/>
      <w:r>
        <w:t>switchů</w:t>
      </w:r>
      <w:proofErr w:type="spellEnd"/>
      <w:r w:rsidRPr="001D5EC2">
        <w:t xml:space="preserve">, </w:t>
      </w:r>
      <w:r>
        <w:t xml:space="preserve">které jsou předmětem koupě dle čl. 1.1 této Smlouvy, </w:t>
      </w:r>
      <w:r w:rsidRPr="001D5EC2">
        <w:t xml:space="preserve">a to po dobu </w:t>
      </w:r>
      <w:r w:rsidRPr="00F04C42">
        <w:rPr>
          <w:highlight w:val="yellow"/>
        </w:rPr>
        <w:t>"[</w:t>
      </w:r>
      <w:proofErr w:type="gramStart"/>
      <w:r w:rsidRPr="00F04C42">
        <w:rPr>
          <w:highlight w:val="yellow"/>
        </w:rPr>
        <w:t>VLOŽÍ</w:t>
      </w:r>
      <w:proofErr w:type="gramEnd"/>
      <w:r w:rsidRPr="00F04C42">
        <w:rPr>
          <w:highlight w:val="yellow"/>
        </w:rPr>
        <w:t xml:space="preserve"> PRODÁVAJÍCÍ]</w:t>
      </w:r>
      <w:r w:rsidRPr="007C2229">
        <w:t>" let</w:t>
      </w:r>
      <w:r w:rsidR="00167CBE">
        <w:t>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3150D9">
        <w:t>splatností 30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Pr="00E81EE9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bookmarkStart w:id="2" w:name="_Hlk149040553"/>
      <w:r w:rsidRPr="00E81EE9">
        <w:rPr>
          <w:rFonts w:eastAsia="Times New Roman" w:cs="Arial"/>
          <w:lang w:eastAsia="cs-CZ"/>
        </w:rPr>
        <w:t>S</w:t>
      </w:r>
      <w:r w:rsidR="00E30CC9" w:rsidRPr="00E81EE9">
        <w:rPr>
          <w:rFonts w:eastAsia="Times New Roman" w:cs="Arial"/>
          <w:lang w:eastAsia="cs-CZ"/>
        </w:rPr>
        <w:t>práva železnic</w:t>
      </w:r>
      <w:r w:rsidRPr="00E81EE9">
        <w:rPr>
          <w:rFonts w:eastAsia="Times New Roman" w:cs="Arial"/>
          <w:lang w:eastAsia="cs-CZ"/>
        </w:rPr>
        <w:t>, s</w:t>
      </w:r>
      <w:r w:rsidR="00E30CC9" w:rsidRPr="00E81EE9">
        <w:rPr>
          <w:rFonts w:eastAsia="Times New Roman" w:cs="Arial"/>
          <w:lang w:eastAsia="cs-CZ"/>
        </w:rPr>
        <w:t>tátní organizace</w:t>
      </w:r>
    </w:p>
    <w:bookmarkEnd w:id="2"/>
    <w:p w14:paraId="3FC2616D" w14:textId="77777777" w:rsidR="00782D29" w:rsidRPr="00E81EE9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E81EE9">
        <w:rPr>
          <w:rFonts w:eastAsia="Times New Roman" w:cs="Arial"/>
          <w:lang w:eastAsia="cs-CZ"/>
        </w:rPr>
        <w:t>Oblastní ředitelství Hradec Králové</w:t>
      </w:r>
    </w:p>
    <w:p w14:paraId="1F206373" w14:textId="77777777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 w:rsidRPr="00E81EE9">
        <w:rPr>
          <w:rFonts w:eastAsia="Times New Roman" w:cs="Arial"/>
          <w:lang w:eastAsia="cs-CZ"/>
        </w:rPr>
        <w:t xml:space="preserve">U </w:t>
      </w:r>
      <w:proofErr w:type="spellStart"/>
      <w:r w:rsidRPr="00E81EE9">
        <w:rPr>
          <w:rFonts w:eastAsia="Times New Roman" w:cs="Arial"/>
          <w:lang w:eastAsia="cs-CZ"/>
        </w:rPr>
        <w:t>Fotochemy</w:t>
      </w:r>
      <w:proofErr w:type="spellEnd"/>
      <w:r w:rsidRPr="00E81EE9">
        <w:rPr>
          <w:rFonts w:eastAsia="Times New Roman" w:cs="Arial"/>
          <w:lang w:eastAsia="cs-CZ"/>
        </w:rPr>
        <w:t xml:space="preserve"> 259, 501 01 Hradec Králové</w:t>
      </w:r>
    </w:p>
    <w:p w14:paraId="3893E5E1" w14:textId="026332D0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4F2BE6">
        <w:t>20. 12. 2023</w:t>
      </w:r>
    </w:p>
    <w:p w14:paraId="1CE6BDEF" w14:textId="48A9B69B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4F2BE6">
        <w:t xml:space="preserve">od </w:t>
      </w:r>
      <w:r w:rsidR="004F2BE6" w:rsidRPr="004F2BE6">
        <w:t>8</w:t>
      </w:r>
      <w:r w:rsidRPr="004F2BE6">
        <w:t>.00 do 13.00 hodin kdykoliv</w:t>
      </w:r>
      <w:r w:rsidRPr="00E81EE9">
        <w:t xml:space="preserve"> v termínu účinnosti této </w:t>
      </w:r>
      <w:r w:rsidR="00183EDF" w:rsidRPr="00E81EE9">
        <w:t>S</w:t>
      </w:r>
      <w:r w:rsidRPr="00E81EE9">
        <w:t xml:space="preserve">mlouvy s tím, že termín plnění bude oznámen v předstihu 2 pracovních dní </w:t>
      </w:r>
      <w:r w:rsidR="00183EDF" w:rsidRPr="00E81EE9">
        <w:t>P</w:t>
      </w:r>
      <w:r w:rsidRPr="00E81EE9">
        <w:t xml:space="preserve">rodávajícím </w:t>
      </w:r>
      <w:r w:rsidR="00183EDF" w:rsidRPr="004F2BE6">
        <w:t>K</w:t>
      </w:r>
      <w:r w:rsidRPr="004F2BE6">
        <w:t xml:space="preserve">upujícímu (emailem na adresu </w:t>
      </w:r>
      <w:r w:rsidR="003150D9" w:rsidRPr="004F2BE6">
        <w:t>T</w:t>
      </w:r>
      <w:r w:rsidR="00E0760F" w:rsidRPr="004F2BE6">
        <w:t>epla</w:t>
      </w:r>
      <w:r w:rsidRPr="004F2BE6">
        <w:t>@</w:t>
      </w:r>
      <w:r w:rsidR="00B62B67" w:rsidRPr="004F2BE6">
        <w:t>spravazeleznic</w:t>
      </w:r>
      <w:r w:rsidRPr="004F2BE6">
        <w:t xml:space="preserve">.cz) a </w:t>
      </w:r>
      <w:r w:rsidR="009910DA" w:rsidRPr="004F2BE6">
        <w:t>K</w:t>
      </w:r>
      <w:r w:rsidRPr="004F2BE6">
        <w:t>u</w:t>
      </w:r>
      <w:r w:rsidRPr="00782D29">
        <w:t xml:space="preserve">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6B2624DA" w14:textId="40A41384" w:rsidR="007C2229" w:rsidRPr="00AF77E4" w:rsidRDefault="00782D29" w:rsidP="00FC4559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</w:t>
      </w:r>
      <w:r w:rsidRPr="00E81EE9">
        <w:t xml:space="preserve">v délce 24 měsíců ode dne předání a převzetí předmětu koupě </w:t>
      </w:r>
      <w:r w:rsidR="009910DA" w:rsidRPr="00E81EE9">
        <w:t>K</w:t>
      </w:r>
      <w:r w:rsidRPr="00E81EE9">
        <w:t xml:space="preserve">upujícím. V případech, kdy by záruční doba poskytnutá výrobci předmětu koupě překročila výše uvedenou dobu 24 měsíců, zavazuje se </w:t>
      </w:r>
      <w:r w:rsidR="009910DA" w:rsidRPr="00E81EE9">
        <w:t>P</w:t>
      </w:r>
      <w:r w:rsidRPr="00E81EE9">
        <w:t xml:space="preserve">rodávající poskytnout </w:t>
      </w:r>
      <w:r w:rsidR="009910DA" w:rsidRPr="00E81EE9">
        <w:t>K</w:t>
      </w:r>
      <w:r w:rsidRPr="00E81EE9">
        <w:t>upujícímu záruku za jakost předmětu koupě</w:t>
      </w:r>
      <w:r w:rsidRPr="00DB3E86">
        <w:t xml:space="preserve">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 xml:space="preserve">řejný funkcionář uvedený v </w:t>
      </w:r>
      <w:proofErr w:type="spellStart"/>
      <w:r w:rsidR="007E43FC">
        <w:t>ust</w:t>
      </w:r>
      <w:proofErr w:type="spellEnd"/>
      <w:r w:rsidR="007E43FC">
        <w:t>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7E43FC" w:rsidRPr="0029677D">
        <w:t>ust</w:t>
      </w:r>
      <w:proofErr w:type="spellEnd"/>
      <w:r w:rsidR="007E43FC" w:rsidRPr="0029677D">
        <w:t>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</w:t>
      </w:r>
      <w:r w:rsidRPr="004A5D36">
        <w:lastRenderedPageBreak/>
        <w:t xml:space="preserve">29 a 30 směrnice 2014/25/EU a čl. 13 písm. a) až d), f) až h) a j) směrnice 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.4.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lastRenderedPageBreak/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</w:t>
      </w:r>
      <w:r>
        <w:lastRenderedPageBreak/>
        <w:t xml:space="preserve">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6A89D7B5" w:rsidR="00214C3E" w:rsidRPr="00F97DBD" w:rsidRDefault="00E572D0" w:rsidP="004B5C9B">
            <w:pPr>
              <w:pStyle w:val="Textbezslovn"/>
            </w:pPr>
            <w:r w:rsidRPr="00FA36A5">
              <w:t>Oceněný položkový soupis dodávek</w:t>
            </w:r>
            <w:r>
              <w:t xml:space="preserve"> - 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E8C17" w14:textId="77777777" w:rsidR="008E64C5" w:rsidRDefault="008E64C5" w:rsidP="00962258">
      <w:pPr>
        <w:spacing w:after="0" w:line="240" w:lineRule="auto"/>
      </w:pPr>
      <w:r>
        <w:separator/>
      </w:r>
    </w:p>
  </w:endnote>
  <w:endnote w:type="continuationSeparator" w:id="0">
    <w:p w14:paraId="5EF21C1E" w14:textId="77777777" w:rsidR="008E64C5" w:rsidRDefault="008E64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49237018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5A8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375E6E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602B17E6" w:rsidR="006C7460" w:rsidRDefault="00E81EE9" w:rsidP="00F422D3">
          <w:pPr>
            <w:pStyle w:val="Zpat0"/>
          </w:pPr>
          <w:r w:rsidRPr="00E81EE9">
            <w:rPr>
              <w:sz w:val="14"/>
            </w:rPr>
            <w:t>Doplnění LAN sítí OŘ Hradec Králové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0283C99E" w:rsidR="000B073C" w:rsidRPr="00C67F6A" w:rsidRDefault="00B32E68" w:rsidP="00C67F6A">
          <w:pPr>
            <w:pStyle w:val="Zpat"/>
            <w:jc w:val="right"/>
            <w:rPr>
              <w:rStyle w:val="slostrnky"/>
            </w:rPr>
          </w:pPr>
          <w:r w:rsidRPr="00B32E68">
            <w:rPr>
              <w:rStyle w:val="slostrnky"/>
              <w:b w:val="0"/>
              <w:color w:val="auto"/>
            </w:rPr>
            <w:t>Doplnění LAN sítí OŘ Hradec Králové</w:t>
          </w:r>
          <w:r w:rsidRPr="00B32E68" w:rsidDel="00B32E68">
            <w:rPr>
              <w:rStyle w:val="slostrnky"/>
              <w:b w:val="0"/>
              <w:color w:val="auto"/>
              <w:highlight w:val="cyan"/>
            </w:rPr>
            <w:t xml:space="preserve"> 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FA7EF" w14:textId="77777777" w:rsidR="008E64C5" w:rsidRDefault="008E64C5" w:rsidP="00962258">
      <w:pPr>
        <w:spacing w:after="0" w:line="240" w:lineRule="auto"/>
      </w:pPr>
      <w:r>
        <w:separator/>
      </w:r>
    </w:p>
  </w:footnote>
  <w:footnote w:type="continuationSeparator" w:id="0">
    <w:p w14:paraId="63421CCC" w14:textId="77777777" w:rsidR="008E64C5" w:rsidRDefault="008E64C5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5915">
    <w:abstractNumId w:val="7"/>
  </w:num>
  <w:num w:numId="2" w16cid:durableId="641738159">
    <w:abstractNumId w:val="2"/>
  </w:num>
  <w:num w:numId="3" w16cid:durableId="371344442">
    <w:abstractNumId w:val="28"/>
  </w:num>
  <w:num w:numId="4" w16cid:durableId="1172717519">
    <w:abstractNumId w:val="13"/>
  </w:num>
  <w:num w:numId="5" w16cid:durableId="3779731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4954510">
    <w:abstractNumId w:val="16"/>
  </w:num>
  <w:num w:numId="7" w16cid:durableId="303629207">
    <w:abstractNumId w:val="21"/>
  </w:num>
  <w:num w:numId="8" w16cid:durableId="1748111089">
    <w:abstractNumId w:val="25"/>
  </w:num>
  <w:num w:numId="9" w16cid:durableId="67657993">
    <w:abstractNumId w:val="0"/>
  </w:num>
  <w:num w:numId="10" w16cid:durableId="784731154">
    <w:abstractNumId w:val="5"/>
  </w:num>
  <w:num w:numId="11" w16cid:durableId="1941448132">
    <w:abstractNumId w:val="29"/>
  </w:num>
  <w:num w:numId="12" w16cid:durableId="823394921">
    <w:abstractNumId w:val="0"/>
  </w:num>
  <w:num w:numId="13" w16cid:durableId="1472135178">
    <w:abstractNumId w:val="5"/>
  </w:num>
  <w:num w:numId="14" w16cid:durableId="133446516">
    <w:abstractNumId w:val="5"/>
  </w:num>
  <w:num w:numId="15" w16cid:durableId="1710302834">
    <w:abstractNumId w:val="16"/>
  </w:num>
  <w:num w:numId="16" w16cid:durableId="480393630">
    <w:abstractNumId w:val="16"/>
  </w:num>
  <w:num w:numId="17" w16cid:durableId="1869222490">
    <w:abstractNumId w:val="16"/>
  </w:num>
  <w:num w:numId="18" w16cid:durableId="1399791397">
    <w:abstractNumId w:val="21"/>
  </w:num>
  <w:num w:numId="19" w16cid:durableId="730228603">
    <w:abstractNumId w:val="21"/>
  </w:num>
  <w:num w:numId="20" w16cid:durableId="1055272361">
    <w:abstractNumId w:val="21"/>
  </w:num>
  <w:num w:numId="21" w16cid:durableId="858272713">
    <w:abstractNumId w:val="25"/>
  </w:num>
  <w:num w:numId="22" w16cid:durableId="1529872589">
    <w:abstractNumId w:val="0"/>
  </w:num>
  <w:num w:numId="23" w16cid:durableId="1507599783">
    <w:abstractNumId w:val="0"/>
  </w:num>
  <w:num w:numId="24" w16cid:durableId="755135547">
    <w:abstractNumId w:val="5"/>
  </w:num>
  <w:num w:numId="25" w16cid:durableId="893126793">
    <w:abstractNumId w:val="5"/>
  </w:num>
  <w:num w:numId="26" w16cid:durableId="1278677251">
    <w:abstractNumId w:val="29"/>
  </w:num>
  <w:num w:numId="27" w16cid:durableId="377508809">
    <w:abstractNumId w:val="18"/>
  </w:num>
  <w:num w:numId="28" w16cid:durableId="536816211">
    <w:abstractNumId w:val="4"/>
  </w:num>
  <w:num w:numId="29" w16cid:durableId="17160087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1623164">
    <w:abstractNumId w:val="19"/>
  </w:num>
  <w:num w:numId="31" w16cid:durableId="7336986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256167">
    <w:abstractNumId w:val="22"/>
  </w:num>
  <w:num w:numId="33" w16cid:durableId="610893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9817800">
    <w:abstractNumId w:val="9"/>
  </w:num>
  <w:num w:numId="35" w16cid:durableId="1092823525">
    <w:abstractNumId w:val="15"/>
  </w:num>
  <w:num w:numId="36" w16cid:durableId="427699550">
    <w:abstractNumId w:val="6"/>
  </w:num>
  <w:num w:numId="37" w16cid:durableId="688487936">
    <w:abstractNumId w:val="17"/>
  </w:num>
  <w:num w:numId="38" w16cid:durableId="1117211320">
    <w:abstractNumId w:val="27"/>
  </w:num>
  <w:num w:numId="39" w16cid:durableId="412629658">
    <w:abstractNumId w:val="3"/>
  </w:num>
  <w:num w:numId="40" w16cid:durableId="725224250">
    <w:abstractNumId w:val="8"/>
  </w:num>
  <w:num w:numId="41" w16cid:durableId="1647317651">
    <w:abstractNumId w:val="26"/>
  </w:num>
  <w:num w:numId="42" w16cid:durableId="460074333">
    <w:abstractNumId w:val="1"/>
  </w:num>
  <w:num w:numId="43" w16cid:durableId="1082676549">
    <w:abstractNumId w:val="12"/>
  </w:num>
  <w:num w:numId="44" w16cid:durableId="1391417203">
    <w:abstractNumId w:val="20"/>
  </w:num>
  <w:num w:numId="45" w16cid:durableId="1559512044">
    <w:abstractNumId w:val="11"/>
  </w:num>
  <w:num w:numId="46" w16cid:durableId="17572412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79072139">
    <w:abstractNumId w:val="14"/>
  </w:num>
  <w:num w:numId="48" w16cid:durableId="194781614">
    <w:abstractNumId w:val="24"/>
  </w:num>
  <w:num w:numId="49" w16cid:durableId="897864620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A5527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67CBE"/>
    <w:rsid w:val="00170EC5"/>
    <w:rsid w:val="00173ED3"/>
    <w:rsid w:val="001747C1"/>
    <w:rsid w:val="00177D6B"/>
    <w:rsid w:val="00183EDF"/>
    <w:rsid w:val="001913F8"/>
    <w:rsid w:val="00191F90"/>
    <w:rsid w:val="001A12C9"/>
    <w:rsid w:val="001B104C"/>
    <w:rsid w:val="001B4E74"/>
    <w:rsid w:val="001C2A3F"/>
    <w:rsid w:val="001C645F"/>
    <w:rsid w:val="001D5EC2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50D9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75E6E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2B17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2BE6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1EAE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5A8E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05A42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2229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7676E"/>
    <w:rsid w:val="00895975"/>
    <w:rsid w:val="008A3568"/>
    <w:rsid w:val="008C50F3"/>
    <w:rsid w:val="008C7EFE"/>
    <w:rsid w:val="008D03B9"/>
    <w:rsid w:val="008D30C7"/>
    <w:rsid w:val="008D6EDE"/>
    <w:rsid w:val="008E64C5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1FED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52EC"/>
    <w:rsid w:val="00A47166"/>
    <w:rsid w:val="00A50641"/>
    <w:rsid w:val="00A50C2E"/>
    <w:rsid w:val="00A50C63"/>
    <w:rsid w:val="00A530BF"/>
    <w:rsid w:val="00A6177B"/>
    <w:rsid w:val="00A6199C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32E68"/>
    <w:rsid w:val="00B42F40"/>
    <w:rsid w:val="00B5431A"/>
    <w:rsid w:val="00B548DC"/>
    <w:rsid w:val="00B62B67"/>
    <w:rsid w:val="00B64D15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57F4A"/>
    <w:rsid w:val="00C6198E"/>
    <w:rsid w:val="00C63B8E"/>
    <w:rsid w:val="00C67F6A"/>
    <w:rsid w:val="00C708EA"/>
    <w:rsid w:val="00C761E5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0B2A"/>
    <w:rsid w:val="00D034A0"/>
    <w:rsid w:val="00D06BD0"/>
    <w:rsid w:val="00D17950"/>
    <w:rsid w:val="00D21061"/>
    <w:rsid w:val="00D232F4"/>
    <w:rsid w:val="00D2544B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35AA"/>
    <w:rsid w:val="00DD46F3"/>
    <w:rsid w:val="00DE0211"/>
    <w:rsid w:val="00DE44F0"/>
    <w:rsid w:val="00DE56F2"/>
    <w:rsid w:val="00DF116D"/>
    <w:rsid w:val="00DF5182"/>
    <w:rsid w:val="00E0687D"/>
    <w:rsid w:val="00E0760F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572D0"/>
    <w:rsid w:val="00E618C4"/>
    <w:rsid w:val="00E7049B"/>
    <w:rsid w:val="00E71817"/>
    <w:rsid w:val="00E7415D"/>
    <w:rsid w:val="00E81EE9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04C42"/>
    <w:rsid w:val="00F12DEC"/>
    <w:rsid w:val="00F1715C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62B75C-C8C7-4CFC-A682-FC25AEF791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251</TotalTime>
  <Pages>10</Pages>
  <Words>3582</Words>
  <Characters>21134</Characters>
  <Application>Microsoft Office Word</Application>
  <DocSecurity>0</DocSecurity>
  <Lines>176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49</cp:revision>
  <cp:lastPrinted>2019-03-12T14:16:00Z</cp:lastPrinted>
  <dcterms:created xsi:type="dcterms:W3CDTF">2021-04-08T08:03:00Z</dcterms:created>
  <dcterms:modified xsi:type="dcterms:W3CDTF">2023-11-03T10:50:00Z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